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1F18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300" w:after="150"/>
        <w:ind w:firstLine="0" w:left="0" w:right="0"/>
        <w:outlineLvl w:val="0"/>
        <w:rPr>
          <w:rFonts w:ascii="Arial" w:hAnsi="Arial"/>
          <w:b w:val="1"/>
          <w:i w:val="0"/>
          <w:color w:val="704131"/>
          <w:sz w:val="36"/>
          <w:shd w:val="clear" w:fill="FFFFFF"/>
        </w:rPr>
      </w:pPr>
      <w:bookmarkStart w:id="0" w:name="_dx_frag_StartFragment"/>
      <w:bookmarkEnd w:id="0"/>
      <w:r>
        <w:rPr>
          <w:rFonts w:ascii="Arial" w:hAnsi="Arial"/>
          <w:b w:val="1"/>
          <w:i w:val="0"/>
          <w:color w:val="704131"/>
          <w:sz w:val="36"/>
          <w:shd w:val="clear" w:fill="FFFFFF"/>
        </w:rPr>
        <w:t>ПАМЯТКА ДЛЯ ИНОСТРАННЫХ ГРАЖДАН</w:t>
      </w:r>
    </w:p>
    <w:p>
      <w:pPr>
        <w:spacing w:before="75" w:after="30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18 марта 2022</w:t>
      </w:r>
    </w:p>
    <w:p>
      <w:pPr>
        <w:spacing w:before="0" w:after="150"/>
        <w:ind w:firstLine="300" w:left="0" w:right="0"/>
        <w:jc w:val="center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1"/>
          <w:i w:val="0"/>
          <w:color w:val="333333"/>
          <w:sz w:val="21"/>
          <w:shd w:val="clear" w:fill="FFFFFF"/>
        </w:rPr>
        <w:t>Правовые основы.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29 декабря 2021 года вступил в законную силу Федеральный закон Российской Федерации от 1 июля 2021 года № 274 – ФЗ  «О внесении изменений в Федеральный закон «О правовом положении иностранных граждан в Российской Федерации» и Федеральный закон «О государственной дактилоскопической регистрации в Российской Федерации», в соответствии с которым, иностранные граждане, в том числе несовершеннолетние дети в возрасте от 6 до 18 лет, прибывшие в Российскую Федерацию, на срок более 90 дней подлежат обязательной дактилоскопической регистрации, фотографированию и медицинскому освидетельствованию.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         - иностранным гражданам, прибывших в Российскую Федерацию в целях осуществления трудовой деятельности – установлен срок 30 календарных дней со дня въезда в Российскую Федерацию;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         - иностранным гражданам, прибывшим в Российскую Федерацию в целях, не связанных с осуществлением трудовой деятельностью, на срок превышающий 90 календарных дней - установлен срок 90 календарных дней со дня въезда в Российскую Федерацию.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Данные требования не будут распространяться на иностранных граждан: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            - не достигших возраста шести лет;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            - граждан Республики Беларусь.</w:t>
      </w:r>
    </w:p>
    <w:p>
      <w:pPr>
        <w:spacing w:before="0" w:after="150"/>
        <w:ind w:firstLine="300" w:left="0" w:right="0"/>
        <w:jc w:val="center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1"/>
          <w:i w:val="0"/>
          <w:color w:val="333333"/>
          <w:sz w:val="21"/>
          <w:shd w:val="clear" w:fill="FFFFFF"/>
        </w:rPr>
        <w:t>Порядок прохождения медицинского освидетельствования и обязательной дактилоскопической регистрации.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            Медицинское освидетельствование, которое включает проведение химико-токсикологических исследований на наличие в организме наркотических средств или психотропных веществ, а также на наличие или отсутствие инфекционных заболеваний, представляющих опасность для окружающих, включая тест на ВИЧ-инфекции, иностранные граждане проходят на площадке Межведомственного миграционного центра, находящегося по адресу: г. Ростов-на-Дону, ул. Таганрогская, 33, вход со стороны ул. Ташкентская, 32.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            После получения документов, подтверждающих прохождение медицинского освидетельствования, иностранный гражданин обязан пройти процедуру обязательной дактилоскопической регистрации. Данная процедура планируется осуществляться также на площадке Межведомственного миграционного центра, находящегося по адресу: г. Ростов-на-Дону, ул. Таганрогская, 33.</w:t>
      </w:r>
    </w:p>
    <w:p>
      <w:pPr>
        <w:spacing w:before="0" w:after="150"/>
        <w:ind w:firstLine="300" w:left="0" w:right="0"/>
        <w:jc w:val="both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            Иностранные граждане, в возрасте от 6 до 18 лет, недееспособные, а также лица, с ограниченными возможностями, проходят обязательную дактилоскопическую регистрацию в территориальных органах ГУ МВД России по Ростовской области на районном уровне.</w:t>
      </w:r>
    </w:p>
    <w:p>
      <w:pPr>
        <w:spacing w:before="0" w:after="150"/>
        <w:ind w:firstLine="300" w:left="0" w:right="0"/>
        <w:jc w:val="center"/>
        <w:rPr>
          <w:rFonts w:ascii="Arial" w:hAnsi="Arial"/>
          <w:b w:val="0"/>
          <w:i w:val="0"/>
          <w:color w:val="333333"/>
          <w:sz w:val="21"/>
          <w:shd w:val="clear" w:fill="FFFFFF"/>
        </w:rPr>
      </w:pPr>
      <w:r>
        <w:rPr>
          <w:rFonts w:ascii="Arial" w:hAnsi="Arial"/>
          <w:b w:val="1"/>
          <w:i w:val="0"/>
          <w:color w:val="333333"/>
          <w:sz w:val="21"/>
          <w:shd w:val="clear" w:fill="FFFFFF"/>
        </w:rPr>
        <w:t>Ответственность.</w:t>
      </w:r>
    </w:p>
    <w:p>
      <w:pPr>
        <w:tabs>
          <w:tab w:val="left" w:pos="432" w:leader="none"/>
        </w:tabs>
        <w:suppressAutoHyphens w:val="1"/>
        <w:spacing w:lineRule="auto" w:line="240" w:after="280" w:beforeAutospacing="0" w:afterAutospacing="0"/>
        <w:ind w:left="432"/>
        <w:jc w:val="both"/>
        <w:rPr>
          <w:rFonts w:ascii="Arial Black" w:hAnsi="Arial Black"/>
          <w:b w:val="1"/>
          <w:sz w:val="144"/>
        </w:rPr>
      </w:pPr>
      <w:r>
        <w:rPr>
          <w:rFonts w:ascii="Arial" w:hAnsi="Arial"/>
          <w:b w:val="0"/>
          <w:i w:val="0"/>
          <w:color w:val="333333"/>
          <w:sz w:val="21"/>
          <w:shd w:val="clear" w:fill="FFFFFF"/>
        </w:rPr>
        <w:t>Срок временного пребывания в Российской Федерации иностранных граждан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регистрации, фотографирования и (или) медицинского освидетельствования, а также может быть принято решение о нежелательности пребывания (проживания) в Российской Федерации или решение о запрете въезда в Российскую Федерацию.</w:t>
      </w:r>
    </w:p>
    <w:p>
      <w:pPr>
        <w:jc w:val="center"/>
        <w:rPr>
          <w:rFonts w:ascii="Arial Black" w:hAnsi="Arial Black"/>
          <w:b w:val="1"/>
          <w:sz w:val="144"/>
        </w:rPr>
      </w:pPr>
    </w:p>
    <w:sectPr>
      <w:type w:val="nextPage"/>
      <w:pgSz w:w="11906" w:h="16838" w:code="9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69ECC1E"/>
    <w:multiLevelType w:val="hybridMultilevel"/>
    <w:lvl w:ilvl="0" w:tplc="3312E32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07D957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CB3F24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BF02BD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9A35FC4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709BCE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CF14F4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905F4D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E5F244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5AB7611D"/>
    <w:multiLevelType w:val="hybridMultilevel"/>
    <w:lvl w:ilvl="0" w:tplc="357E67E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F5B1383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772E55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0BC645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DCFC7CD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D0C4AB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5CCB14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4CFF82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62EA0B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