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61695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  <w:r>
        <w:rPr>
          <w:b w:val="1"/>
          <w:sz w:val="36"/>
        </w:rPr>
        <w:t>ИНФОРМАЦИОННАЯ ПАМЯТКА</w:t>
      </w: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  <w:r>
        <w:rPr>
          <w:b w:val="1"/>
          <w:sz w:val="36"/>
        </w:rPr>
        <w:t>«</w:t>
      </w:r>
      <w:r>
        <w:rPr>
          <w:b w:val="1"/>
          <w:sz w:val="36"/>
        </w:rPr>
        <w:t>О</w:t>
      </w:r>
      <w:r>
        <w:rPr>
          <w:b w:val="1"/>
          <w:sz w:val="36"/>
        </w:rPr>
        <w:t xml:space="preserve"> необходимости соблюдения запрета дарить и получать подарки</w:t>
      </w:r>
      <w:r>
        <w:rPr>
          <w:b w:val="1"/>
          <w:sz w:val="36"/>
        </w:rPr>
        <w:t>»</w:t>
      </w: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  <w:r>
        <w:drawing>
          <wp:inline xmlns:wp="http://schemas.openxmlformats.org/drawingml/2006/wordprocessingDrawing">
            <wp:extent cx="4419600" cy="336169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616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168" w:beforeAutospacing="0" w:afterAutospacing="0"/>
        <w:ind w:hanging="296" w:left="2074" w:right="644"/>
        <w:jc w:val="center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  <w:r>
        <w:rPr>
          <w:sz w:val="36"/>
        </w:rPr>
        <w:t xml:space="preserve"> </w:t>
      </w: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  <w:r>
        <w:rPr>
          <w:sz w:val="36"/>
        </w:rPr>
        <w:t xml:space="preserve"> </w:t>
      </w: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  <w:r>
        <w:rPr>
          <w:sz w:val="36"/>
        </w:rPr>
        <w:t xml:space="preserve"> </w:t>
      </w: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  <w:r>
        <w:rPr>
          <w:sz w:val="36"/>
        </w:rPr>
        <w:t xml:space="preserve"> </w:t>
      </w: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left"/>
        <w:rPr>
          <w:sz w:val="36"/>
        </w:rPr>
      </w:pPr>
    </w:p>
    <w:p>
      <w:pPr>
        <w:spacing w:after="168" w:beforeAutospacing="0" w:afterAutospacing="0"/>
        <w:ind w:hanging="296" w:left="2074" w:right="644"/>
        <w:jc w:val="left"/>
      </w:pPr>
      <w:r>
        <w:rPr>
          <w:sz w:val="36"/>
        </w:rPr>
        <w:t xml:space="preserve">Памятка о необходимости соблюдения запрета дарить и получать подарки </w:t>
      </w:r>
    </w:p>
    <w:p>
      <w:pPr>
        <w:ind w:left="-15" w:right="-15"/>
      </w:pPr>
      <w:r>
        <w:t>В целях реализации действующего законодательства Российской Федерации о противодействии коррупции, в связи с предстоящими новогодними и рождественскими праздниками и рекомендациями Министерства труда и социальной защиты Российской Федерации (далее – Минтруд России) от 26.11.2018 № 18-0/10/В-9380 информирую.</w:t>
      </w:r>
    </w:p>
    <w:p>
      <w:pPr>
        <w:ind w:left="-15" w:right="-15"/>
      </w:pPr>
      <w:r>
        <w:t>Антикоррупционное законодательство, Гражданский кодекс Российской Федерации и иные нормативные правовые акты Российской Федерации содержит запрет на дарение подарков муниципальным служащим и на получение ими в связи с выполнением возложенных служебных (должностных) обязанностей, не предусмотренных законодательством Российской Федерации подарков от физических и юридических лиц.</w:t>
      </w:r>
    </w:p>
    <w:p>
      <w:pPr>
        <w:ind w:left="-15" w:right="-15"/>
      </w:pPr>
      <w:r>
        <w:t>Исключением являются подарки, предусмотренные законодательством, полученные в связи с протокольными мероприятиями, со служебными командировками и с другими официальными мероприятиями, участие в которых связано с выполнением ими служебных (должностных) обязанностей, не принадлежат одаряемому, а признаются муниципальной собственностью и подлежат передаче по акту в территориальный орган (подведомственную организацию), в котором он замещает должность. Воспользоваться полученными подарками указанные лица могут только, выкупив их в установленном порядке.</w:t>
      </w:r>
    </w:p>
    <w:p>
      <w:pPr>
        <w:ind w:left="-15" w:right="-15"/>
      </w:pPr>
      <w:r>
        <w:t xml:space="preserve">Получение должностными лицами подарков в иных случаях (не в связи с протокольными мероприятиями, со служебными командировками и с другими официальными мероприятиями) является нарушением запрета, установленного законодательством Российской федерации и квалифицируются как </w:t>
      </w:r>
      <w:r>
        <w:rPr>
          <w:b w:val="1"/>
        </w:rPr>
        <w:t>Взятка</w:t>
      </w:r>
      <w:r>
        <w:t xml:space="preserve">: мелкое взяточничество (статья 291.2 УК РФ), получение взятки (статья 290 УК РФ). </w:t>
      </w:r>
    </w:p>
    <w:p>
      <w:pPr>
        <w:ind w:left="-15" w:right="-15"/>
      </w:pPr>
      <w:r>
        <w:t>Кроме того, создает условия для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доверия.</w:t>
      </w:r>
    </w:p>
    <w:p>
      <w:pPr>
        <w:ind w:left="-15" w:right="-15"/>
      </w:pPr>
      <w:r>
        <w:t>Так же,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муниципального управления, является нарушением установленного запрета.</w:t>
      </w:r>
    </w:p>
    <w:p>
      <w:pPr>
        <w:ind w:left="-15" w:right="-15"/>
      </w:pPr>
      <w:r>
        <w:t>В целях недопущения конфликтных ситуаций, способных нанести ущерб репутации муниципальному служащему, а равно авторитету Финансового отдела в целом, исключить получение подарков от организаций (представителей организаций), в том числе в отношении которых муниципальный служащий осуществляет (или осуществлял) отдельные функции муниципального управления, вне зависимости от стоимости подарков.</w:t>
      </w:r>
    </w:p>
    <w:sectPr>
      <w:type w:val="nextPage"/>
      <w:pgSz w:w="11900" w:h="16840" w:code="9"/>
      <w:pgMar w:left="1134" w:right="558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38" w:after="278" w:beforeAutospacing="0" w:afterAutospacing="0"/>
      <w:ind w:firstLine="710"/>
      <w:jc w:val="both"/>
    </w:pPr>
    <w:rPr>
      <w:rFonts w:ascii="Times New Roman" w:hAnsi="Times New Roman"/>
      <w:color w:val="000000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